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E" w:rsidRDefault="00562FAD" w:rsidP="001151DC">
      <w:pPr>
        <w:pStyle w:val="a5"/>
        <w:spacing w:before="312" w:after="156"/>
      </w:pPr>
      <w:r>
        <w:rPr>
          <w:rFonts w:hint="eastAsia"/>
        </w:rPr>
        <w:t>蛋白质等电点测定</w:t>
      </w:r>
      <w:r w:rsidR="001151DC">
        <w:rPr>
          <w:rFonts w:hint="eastAsia"/>
        </w:rPr>
        <w:t>服务订购表</w:t>
      </w:r>
    </w:p>
    <w:p w:rsidR="001151DC" w:rsidRDefault="001151DC" w:rsidP="00E11DE1">
      <w:pPr>
        <w:jc w:val="center"/>
      </w:pPr>
      <w:r w:rsidRPr="00E11DE1">
        <w:rPr>
          <w:rFonts w:hint="eastAsia"/>
        </w:rPr>
        <w:t>请尽量详细、准确的填写下表，充分的沟通将有助于我们为您提供更好、更快的服务，谢谢！</w:t>
      </w:r>
    </w:p>
    <w:p w:rsidR="003D60B2" w:rsidRPr="003D60B2" w:rsidRDefault="003D60B2" w:rsidP="003D60B2">
      <w:pPr>
        <w:jc w:val="center"/>
      </w:pPr>
      <w:r w:rsidRPr="00675C72">
        <w:rPr>
          <w:rFonts w:ascii="Arial" w:hAnsi="Arial" w:cs="Arial"/>
        </w:rPr>
        <w:t>联系电话：</w:t>
      </w:r>
      <w:r w:rsidRPr="00675C72">
        <w:rPr>
          <w:rFonts w:ascii="Arial" w:hAnsi="Arial" w:cs="Arial"/>
        </w:rPr>
        <w:t xml:space="preserve">027-59304796  </w:t>
      </w:r>
      <w:r w:rsidRPr="00675C72">
        <w:rPr>
          <w:rFonts w:ascii="Arial" w:hAnsi="Arial" w:cs="Arial"/>
        </w:rPr>
        <w:t>邮箱：</w:t>
      </w:r>
      <w:r w:rsidRPr="00675C72">
        <w:rPr>
          <w:rFonts w:ascii="Arial" w:hAnsi="Arial" w:cs="Arial"/>
        </w:rPr>
        <w:t>protein2@sangon.com</w:t>
      </w:r>
    </w:p>
    <w:p w:rsidR="001151DC" w:rsidRPr="00C407C3" w:rsidRDefault="001151DC" w:rsidP="00C407C3">
      <w:pPr>
        <w:pStyle w:val="1"/>
        <w:spacing w:beforeLines="0" w:afterLines="0"/>
        <w:rPr>
          <w:sz w:val="28"/>
          <w:szCs w:val="28"/>
        </w:rPr>
      </w:pPr>
      <w:r w:rsidRPr="00C407C3">
        <w:rPr>
          <w:rFonts w:hint="eastAsia"/>
          <w:sz w:val="28"/>
          <w:szCs w:val="28"/>
        </w:rPr>
        <w:t>客户基本信息登记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111"/>
        <w:gridCol w:w="4111"/>
        <w:gridCol w:w="3427"/>
      </w:tblGrid>
      <w:tr w:rsidR="00B72DF7" w:rsidTr="00B72DF7">
        <w:trPr>
          <w:trHeight w:val="292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课题组负责人</w:t>
            </w:r>
            <w:r>
              <w:rPr>
                <w:rFonts w:hint="eastAsia"/>
              </w:rPr>
              <w:t>：</w:t>
            </w:r>
          </w:p>
        </w:tc>
      </w:tr>
      <w:tr w:rsidR="00B72DF7" w:rsidTr="00643C70">
        <w:trPr>
          <w:trHeight w:val="306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11649" w:type="dxa"/>
            <w:gridSpan w:val="3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联系地址</w:t>
            </w:r>
            <w:r>
              <w:rPr>
                <w:rFonts w:hint="eastAsia"/>
              </w:rPr>
              <w:t>：</w:t>
            </w:r>
          </w:p>
        </w:tc>
      </w:tr>
      <w:tr w:rsidR="001151DC" w:rsidTr="00B72DF7">
        <w:trPr>
          <w:trHeight w:val="292"/>
          <w:jc w:val="center"/>
        </w:trPr>
        <w:tc>
          <w:tcPr>
            <w:tcW w:w="8075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</w:t>
            </w:r>
            <w:r>
              <w:rPr>
                <w:rFonts w:hint="eastAsia"/>
              </w:rPr>
              <w:t>：</w:t>
            </w:r>
          </w:p>
        </w:tc>
        <w:tc>
          <w:tcPr>
            <w:tcW w:w="7538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销售员电话</w:t>
            </w:r>
            <w:r>
              <w:rPr>
                <w:rFonts w:hint="eastAsia"/>
              </w:rPr>
              <w:t>：</w:t>
            </w:r>
          </w:p>
        </w:tc>
      </w:tr>
      <w:tr w:rsidR="00C407C3" w:rsidTr="0082274F">
        <w:trPr>
          <w:trHeight w:val="292"/>
          <w:jc w:val="center"/>
        </w:trPr>
        <w:tc>
          <w:tcPr>
            <w:tcW w:w="15613" w:type="dxa"/>
            <w:gridSpan w:val="4"/>
          </w:tcPr>
          <w:p w:rsidR="00C407C3" w:rsidRPr="000126EB" w:rsidRDefault="00C407C3" w:rsidP="00C407C3">
            <w:pPr>
              <w:pStyle w:val="aa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:rsidR="00411552" w:rsidRDefault="00411552" w:rsidP="0041155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:rsidR="00D84F5D" w:rsidRDefault="00411552" w:rsidP="0041155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邮件回复或确认此订购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样本信息表，视为同意并接受订购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样本信息表中的所有内容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 w:rsidR="00C407C3" w:rsidRPr="000126EB" w:rsidRDefault="00C407C3" w:rsidP="006C284E">
            <w:pPr>
              <w:pStyle w:val="aa"/>
              <w:ind w:firstLineChars="6100" w:firstLine="10980"/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:rsidR="00A22431" w:rsidRPr="00C407C3" w:rsidRDefault="00BA2335" w:rsidP="00C407C3">
      <w:pPr>
        <w:pStyle w:val="1"/>
        <w:spacing w:beforeLines="0" w:afterLines="0"/>
        <w:rPr>
          <w:sz w:val="28"/>
          <w:szCs w:val="28"/>
        </w:rPr>
      </w:pPr>
      <w:r w:rsidRPr="00C407C3">
        <w:rPr>
          <w:rFonts w:hint="eastAsia"/>
          <w:sz w:val="28"/>
          <w:szCs w:val="28"/>
        </w:rPr>
        <w:t>项目要求</w:t>
      </w:r>
    </w:p>
    <w:tbl>
      <w:tblPr>
        <w:tblStyle w:val="afb"/>
        <w:tblW w:w="15694" w:type="dxa"/>
        <w:jc w:val="center"/>
        <w:tblLook w:val="04A0" w:firstRow="1" w:lastRow="0" w:firstColumn="1" w:lastColumn="0" w:noHBand="0" w:noVBand="1"/>
      </w:tblPr>
      <w:tblGrid>
        <w:gridCol w:w="2405"/>
        <w:gridCol w:w="13289"/>
      </w:tblGrid>
      <w:tr w:rsidR="00A22431" w:rsidTr="00884E72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服务名称</w:t>
            </w:r>
          </w:p>
        </w:tc>
        <w:tc>
          <w:tcPr>
            <w:tcW w:w="13289" w:type="dxa"/>
            <w:shd w:val="clear" w:color="auto" w:fill="DEEAF6" w:themeFill="accent1" w:themeFillTint="33"/>
          </w:tcPr>
          <w:p w:rsidR="00A22431" w:rsidRPr="009B74A2" w:rsidRDefault="003641E3" w:rsidP="00997053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蛋白质等电点测定</w:t>
            </w:r>
            <w:r w:rsidR="00884E72" w:rsidRPr="00A24F7F">
              <w:rPr>
                <w:rFonts w:hint="eastAsia"/>
                <w:b/>
              </w:rPr>
              <w:t>服务（</w:t>
            </w:r>
            <w:r w:rsidRPr="003641E3">
              <w:rPr>
                <w:b/>
              </w:rPr>
              <w:t>P504055-0001</w:t>
            </w:r>
            <w:r w:rsidR="00884E72" w:rsidRPr="00A24F7F">
              <w:rPr>
                <w:rFonts w:hint="eastAsia"/>
                <w:b/>
              </w:rPr>
              <w:t>）</w:t>
            </w:r>
          </w:p>
        </w:tc>
      </w:tr>
      <w:tr w:rsidR="00A22431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实验目的及要求</w:t>
            </w:r>
          </w:p>
        </w:tc>
        <w:tc>
          <w:tcPr>
            <w:tcW w:w="13289" w:type="dxa"/>
          </w:tcPr>
          <w:p w:rsidR="00A22431" w:rsidRDefault="00A22431" w:rsidP="00A22431">
            <w:pPr>
              <w:pStyle w:val="aa"/>
            </w:pPr>
          </w:p>
        </w:tc>
      </w:tr>
      <w:tr w:rsidR="00BA2335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BA2335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实验方案及说明</w:t>
            </w:r>
          </w:p>
        </w:tc>
        <w:tc>
          <w:tcPr>
            <w:tcW w:w="13289" w:type="dxa"/>
          </w:tcPr>
          <w:p w:rsidR="00BA2335" w:rsidRPr="00A24F7F" w:rsidRDefault="00BA2335" w:rsidP="00A22431">
            <w:pPr>
              <w:pStyle w:val="aa"/>
              <w:rPr>
                <w:b/>
              </w:rPr>
            </w:pPr>
          </w:p>
        </w:tc>
      </w:tr>
    </w:tbl>
    <w:p w:rsidR="007D3CF3" w:rsidRPr="00C407C3" w:rsidRDefault="00BA2335" w:rsidP="00C407C3">
      <w:pPr>
        <w:pStyle w:val="1"/>
        <w:spacing w:beforeLines="0" w:afterLines="0"/>
        <w:rPr>
          <w:sz w:val="28"/>
          <w:szCs w:val="28"/>
        </w:rPr>
      </w:pPr>
      <w:r w:rsidRPr="00C407C3">
        <w:rPr>
          <w:rFonts w:hint="eastAsia"/>
          <w:sz w:val="28"/>
          <w:szCs w:val="28"/>
        </w:rPr>
        <w:t>样品说明</w:t>
      </w:r>
    </w:p>
    <w:tbl>
      <w:tblPr>
        <w:tblStyle w:val="afb"/>
        <w:tblW w:w="15630" w:type="dxa"/>
        <w:jc w:val="center"/>
        <w:tblLook w:val="0000" w:firstRow="0" w:lastRow="0" w:firstColumn="0" w:lastColumn="0" w:noHBand="0" w:noVBand="0"/>
      </w:tblPr>
      <w:tblGrid>
        <w:gridCol w:w="704"/>
        <w:gridCol w:w="709"/>
        <w:gridCol w:w="1134"/>
        <w:gridCol w:w="1134"/>
        <w:gridCol w:w="1397"/>
        <w:gridCol w:w="868"/>
        <w:gridCol w:w="995"/>
        <w:gridCol w:w="1397"/>
        <w:gridCol w:w="1013"/>
        <w:gridCol w:w="1135"/>
        <w:gridCol w:w="1133"/>
        <w:gridCol w:w="2977"/>
        <w:gridCol w:w="1034"/>
      </w:tblGrid>
      <w:tr w:rsidR="00427D8A" w:rsidTr="00427D8A">
        <w:trPr>
          <w:trHeight w:val="204"/>
          <w:jc w:val="center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样品编号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4533" w:type="dxa"/>
            <w:gridSpan w:val="4"/>
            <w:shd w:val="clear" w:color="auto" w:fill="DEEAF6" w:themeFill="accent1" w:themeFillTint="33"/>
            <w:vAlign w:val="center"/>
          </w:tcPr>
          <w:p w:rsidR="00427D8A" w:rsidRDefault="00806BCE" w:rsidP="00427D8A">
            <w:pPr>
              <w:pStyle w:val="aa"/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254486263"/>
              </w:sdtPr>
              <w:sdtEndPr/>
              <w:sdtContent>
                <w:r w:rsidR="00A136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27D8A">
              <w:rPr>
                <w:rFonts w:hint="eastAsia"/>
                <w:b/>
              </w:rPr>
              <w:t>溶液</w:t>
            </w:r>
          </w:p>
        </w:tc>
        <w:tc>
          <w:tcPr>
            <w:tcW w:w="3405" w:type="dxa"/>
            <w:gridSpan w:val="3"/>
            <w:shd w:val="clear" w:color="auto" w:fill="DEEAF6" w:themeFill="accent1" w:themeFillTint="33"/>
            <w:vAlign w:val="center"/>
          </w:tcPr>
          <w:p w:rsidR="00427D8A" w:rsidRDefault="00806BCE" w:rsidP="00427D8A">
            <w:pPr>
              <w:pStyle w:val="aa"/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559368698"/>
              </w:sdtPr>
              <w:sdtEndPr/>
              <w:sdtContent>
                <w:r w:rsidR="00A136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27D8A">
              <w:rPr>
                <w:rFonts w:hint="eastAsia"/>
                <w:b/>
              </w:rPr>
              <w:t>冻干粉</w:t>
            </w:r>
          </w:p>
        </w:tc>
        <w:tc>
          <w:tcPr>
            <w:tcW w:w="1135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种属来源</w:t>
            </w:r>
          </w:p>
        </w:tc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表观分子量（</w:t>
            </w:r>
            <w:r>
              <w:rPr>
                <w:rFonts w:hint="eastAsia"/>
                <w:b/>
              </w:rPr>
              <w:t>k</w:t>
            </w:r>
            <w:r>
              <w:rPr>
                <w:b/>
              </w:rPr>
              <w:t>Da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  <w:vAlign w:val="center"/>
          </w:tcPr>
          <w:p w:rsidR="00427D8A" w:rsidRDefault="009750C0" w:rsidP="00427D8A">
            <w:pPr>
              <w:pStyle w:val="aa"/>
              <w:jc w:val="center"/>
              <w:rPr>
                <w:b/>
              </w:rPr>
            </w:pPr>
            <w:r w:rsidRPr="009750C0">
              <w:rPr>
                <w:rFonts w:hint="eastAsia"/>
                <w:b/>
              </w:rPr>
              <w:t>理论等电点（必填）</w:t>
            </w:r>
          </w:p>
        </w:tc>
        <w:tc>
          <w:tcPr>
            <w:tcW w:w="1034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备注说明</w:t>
            </w:r>
          </w:p>
        </w:tc>
      </w:tr>
      <w:tr w:rsidR="00427D8A" w:rsidRPr="00CD1D5D" w:rsidTr="003D60B2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缓冲液成分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浓度≥</w:t>
            </w:r>
            <w:r>
              <w:rPr>
                <w:b/>
              </w:rPr>
              <w:t xml:space="preserve">1 </w:t>
            </w:r>
            <w:r w:rsidR="003641E3" w:rsidRPr="003641E3">
              <w:rPr>
                <w:b/>
              </w:rPr>
              <w:t>μ</w:t>
            </w:r>
            <w:r>
              <w:rPr>
                <w:b/>
              </w:rPr>
              <w:t>g/</w:t>
            </w:r>
            <w:r w:rsidR="003641E3" w:rsidRPr="003641E3">
              <w:rPr>
                <w:b/>
              </w:rPr>
              <w:t>μ</w:t>
            </w:r>
            <w:r>
              <w:rPr>
                <w:rFonts w:hint="eastAsia"/>
                <w:b/>
              </w:rPr>
              <w:t>l</w:t>
            </w:r>
          </w:p>
        </w:tc>
        <w:tc>
          <w:tcPr>
            <w:tcW w:w="1397" w:type="dxa"/>
            <w:shd w:val="clear" w:color="auto" w:fill="DEEAF6" w:themeFill="accent1" w:themeFillTint="33"/>
          </w:tcPr>
          <w:p w:rsidR="00427D8A" w:rsidRPr="00CD1D5D" w:rsidRDefault="00427D8A" w:rsidP="009750C0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体积</w:t>
            </w:r>
            <w:r w:rsidR="009750C0" w:rsidRPr="00427D8A">
              <w:rPr>
                <w:rFonts w:hint="eastAsia"/>
                <w:b/>
              </w:rPr>
              <w:t>目的蛋白量</w:t>
            </w:r>
            <w:r w:rsidR="009750C0" w:rsidRPr="003D60B2">
              <w:rPr>
                <w:rFonts w:hint="eastAsia"/>
              </w:rPr>
              <w:t>≥</w:t>
            </w:r>
            <w:r w:rsidR="009750C0">
              <w:rPr>
                <w:rFonts w:hint="eastAsia"/>
                <w:b/>
              </w:rPr>
              <w:t>0.2mg</w:t>
            </w:r>
          </w:p>
        </w:tc>
        <w:tc>
          <w:tcPr>
            <w:tcW w:w="868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纯度≥</w:t>
            </w: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995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冻干前缓冲液</w:t>
            </w:r>
          </w:p>
        </w:tc>
        <w:tc>
          <w:tcPr>
            <w:tcW w:w="1397" w:type="dxa"/>
            <w:shd w:val="clear" w:color="auto" w:fill="DEEAF6" w:themeFill="accent1" w:themeFillTint="33"/>
          </w:tcPr>
          <w:p w:rsidR="009750C0" w:rsidRDefault="00427D8A" w:rsidP="009750C0">
            <w:pPr>
              <w:pStyle w:val="aa"/>
              <w:rPr>
                <w:b/>
              </w:rPr>
            </w:pPr>
            <w:r w:rsidRPr="00427D8A">
              <w:rPr>
                <w:rFonts w:hint="eastAsia"/>
                <w:b/>
              </w:rPr>
              <w:t>目的蛋白量≥</w:t>
            </w:r>
          </w:p>
          <w:p w:rsidR="00427D8A" w:rsidRPr="00CD1D5D" w:rsidRDefault="009750C0" w:rsidP="009750C0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0.2mg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纯度≥</w:t>
            </w: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1135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1133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1034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</w:tr>
      <w:tr w:rsidR="00427D8A" w:rsidTr="003D60B2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427D8A" w:rsidRPr="00884E72" w:rsidRDefault="00427D8A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1</w:t>
            </w:r>
          </w:p>
        </w:tc>
        <w:tc>
          <w:tcPr>
            <w:tcW w:w="709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868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99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297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34" w:type="dxa"/>
          </w:tcPr>
          <w:p w:rsidR="00427D8A" w:rsidRDefault="00427D8A" w:rsidP="00427D8A">
            <w:pPr>
              <w:pStyle w:val="aa"/>
            </w:pPr>
          </w:p>
        </w:tc>
      </w:tr>
      <w:tr w:rsidR="00427D8A" w:rsidTr="003D60B2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427D8A" w:rsidRPr="00884E72" w:rsidRDefault="00427D8A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2</w:t>
            </w:r>
          </w:p>
        </w:tc>
        <w:tc>
          <w:tcPr>
            <w:tcW w:w="709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868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99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297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34" w:type="dxa"/>
          </w:tcPr>
          <w:p w:rsidR="00427D8A" w:rsidRDefault="00427D8A" w:rsidP="00427D8A">
            <w:pPr>
              <w:pStyle w:val="aa"/>
            </w:pPr>
          </w:p>
        </w:tc>
      </w:tr>
      <w:tr w:rsidR="00427D8A" w:rsidTr="003D60B2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427D8A" w:rsidRPr="00884E72" w:rsidRDefault="00427D8A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3</w:t>
            </w:r>
          </w:p>
        </w:tc>
        <w:tc>
          <w:tcPr>
            <w:tcW w:w="709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868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99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297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34" w:type="dxa"/>
          </w:tcPr>
          <w:p w:rsidR="00427D8A" w:rsidRDefault="00427D8A" w:rsidP="00427D8A">
            <w:pPr>
              <w:pStyle w:val="aa"/>
            </w:pPr>
          </w:p>
        </w:tc>
      </w:tr>
      <w:tr w:rsidR="00411552" w:rsidTr="003D60B2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411552" w:rsidRPr="00884E72" w:rsidRDefault="00411552" w:rsidP="00427D8A">
            <w:pPr>
              <w:pStyle w:val="aa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709" w:type="dxa"/>
          </w:tcPr>
          <w:p w:rsidR="00411552" w:rsidRDefault="00411552" w:rsidP="00427D8A">
            <w:pPr>
              <w:pStyle w:val="aa"/>
            </w:pPr>
          </w:p>
        </w:tc>
        <w:tc>
          <w:tcPr>
            <w:tcW w:w="1134" w:type="dxa"/>
          </w:tcPr>
          <w:p w:rsidR="00411552" w:rsidRDefault="00411552" w:rsidP="00427D8A">
            <w:pPr>
              <w:pStyle w:val="aa"/>
            </w:pPr>
          </w:p>
        </w:tc>
        <w:tc>
          <w:tcPr>
            <w:tcW w:w="1134" w:type="dxa"/>
          </w:tcPr>
          <w:p w:rsidR="00411552" w:rsidRDefault="00411552" w:rsidP="00427D8A">
            <w:pPr>
              <w:pStyle w:val="aa"/>
            </w:pPr>
          </w:p>
        </w:tc>
        <w:tc>
          <w:tcPr>
            <w:tcW w:w="1397" w:type="dxa"/>
          </w:tcPr>
          <w:p w:rsidR="00411552" w:rsidRDefault="00411552" w:rsidP="00427D8A">
            <w:pPr>
              <w:pStyle w:val="aa"/>
            </w:pPr>
          </w:p>
        </w:tc>
        <w:tc>
          <w:tcPr>
            <w:tcW w:w="868" w:type="dxa"/>
          </w:tcPr>
          <w:p w:rsidR="00411552" w:rsidRDefault="00411552" w:rsidP="00427D8A">
            <w:pPr>
              <w:pStyle w:val="aa"/>
            </w:pPr>
          </w:p>
        </w:tc>
        <w:tc>
          <w:tcPr>
            <w:tcW w:w="995" w:type="dxa"/>
          </w:tcPr>
          <w:p w:rsidR="00411552" w:rsidRDefault="00411552" w:rsidP="00427D8A">
            <w:pPr>
              <w:pStyle w:val="aa"/>
            </w:pPr>
          </w:p>
        </w:tc>
        <w:tc>
          <w:tcPr>
            <w:tcW w:w="1397" w:type="dxa"/>
          </w:tcPr>
          <w:p w:rsidR="00411552" w:rsidRDefault="00411552" w:rsidP="00427D8A">
            <w:pPr>
              <w:pStyle w:val="aa"/>
            </w:pPr>
          </w:p>
        </w:tc>
        <w:tc>
          <w:tcPr>
            <w:tcW w:w="1013" w:type="dxa"/>
          </w:tcPr>
          <w:p w:rsidR="00411552" w:rsidRDefault="00411552" w:rsidP="00427D8A">
            <w:pPr>
              <w:pStyle w:val="aa"/>
            </w:pPr>
          </w:p>
        </w:tc>
        <w:tc>
          <w:tcPr>
            <w:tcW w:w="1135" w:type="dxa"/>
          </w:tcPr>
          <w:p w:rsidR="00411552" w:rsidRDefault="00411552" w:rsidP="00427D8A">
            <w:pPr>
              <w:pStyle w:val="aa"/>
            </w:pPr>
          </w:p>
        </w:tc>
        <w:tc>
          <w:tcPr>
            <w:tcW w:w="1133" w:type="dxa"/>
          </w:tcPr>
          <w:p w:rsidR="00411552" w:rsidRDefault="00411552" w:rsidP="00427D8A">
            <w:pPr>
              <w:pStyle w:val="aa"/>
            </w:pPr>
          </w:p>
        </w:tc>
        <w:tc>
          <w:tcPr>
            <w:tcW w:w="2977" w:type="dxa"/>
          </w:tcPr>
          <w:p w:rsidR="00411552" w:rsidRDefault="00411552" w:rsidP="00427D8A">
            <w:pPr>
              <w:pStyle w:val="aa"/>
            </w:pPr>
          </w:p>
        </w:tc>
        <w:tc>
          <w:tcPr>
            <w:tcW w:w="1034" w:type="dxa"/>
          </w:tcPr>
          <w:p w:rsidR="00411552" w:rsidRDefault="00411552" w:rsidP="00427D8A">
            <w:pPr>
              <w:pStyle w:val="aa"/>
            </w:pPr>
          </w:p>
        </w:tc>
      </w:tr>
    </w:tbl>
    <w:p w:rsidR="006E6BB4" w:rsidRDefault="00362DFE" w:rsidP="00362DFE">
      <w:r>
        <w:rPr>
          <w:rFonts w:hint="eastAsia"/>
        </w:rPr>
        <w:t>（如增加样品，可继续往下填写）</w:t>
      </w:r>
    </w:p>
    <w:p w:rsidR="003641E3" w:rsidRPr="00C407C3" w:rsidRDefault="003641E3" w:rsidP="00C407C3">
      <w:pPr>
        <w:pStyle w:val="1"/>
        <w:spacing w:beforeLines="0" w:afterLines="0"/>
        <w:rPr>
          <w:sz w:val="28"/>
          <w:szCs w:val="28"/>
        </w:rPr>
      </w:pPr>
      <w:r w:rsidRPr="00C407C3">
        <w:rPr>
          <w:sz w:val="28"/>
          <w:szCs w:val="28"/>
        </w:rPr>
        <w:lastRenderedPageBreak/>
        <w:t>备注说明</w:t>
      </w:r>
    </w:p>
    <w:p w:rsidR="003641E3" w:rsidRPr="000C72B8" w:rsidRDefault="003641E3" w:rsidP="003641E3">
      <w:pPr>
        <w:pStyle w:val="2"/>
        <w:rPr>
          <w:rFonts w:cs="Arial"/>
        </w:rPr>
      </w:pPr>
      <w:r w:rsidRPr="000C72B8">
        <w:rPr>
          <w:rFonts w:cs="Arial"/>
        </w:rPr>
        <w:t xml:space="preserve">1 </w:t>
      </w:r>
      <w:r w:rsidRPr="000C72B8">
        <w:rPr>
          <w:rFonts w:cs="Arial"/>
        </w:rPr>
        <w:t>通则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样品如被修饰，请详细告知修饰方式。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样品如有特殊理化性质，请详细说明。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若为已知序列样品，请告知预期序列信息。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请务必告知样品表观分子量</w:t>
      </w:r>
      <w:r w:rsidR="00290B8B">
        <w:rPr>
          <w:rFonts w:ascii="Arial" w:hAnsi="Arial" w:cs="Arial" w:hint="eastAsia"/>
        </w:rPr>
        <w:t>、</w:t>
      </w:r>
      <w:r w:rsidR="00290B8B" w:rsidRPr="003D60B2">
        <w:rPr>
          <w:rFonts w:ascii="Arial" w:hAnsi="Arial" w:cs="Arial" w:hint="eastAsia"/>
        </w:rPr>
        <w:t>理论等电点</w:t>
      </w:r>
      <w:r w:rsidRPr="000C72B8">
        <w:rPr>
          <w:rFonts w:ascii="Arial" w:hAnsi="Arial" w:cs="Arial"/>
        </w:rPr>
        <w:t>范围。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建议客户提供溶液样品或冻干粉，微量样品请</w:t>
      </w:r>
      <w:r w:rsidRPr="009E673C">
        <w:rPr>
          <w:rFonts w:ascii="Arial" w:hAnsi="Arial" w:cs="Arial"/>
          <w:color w:val="FF0000"/>
        </w:rPr>
        <w:t>不要</w:t>
      </w:r>
      <w:r w:rsidRPr="000C72B8">
        <w:rPr>
          <w:rFonts w:ascii="Arial" w:hAnsi="Arial" w:cs="Arial"/>
        </w:rPr>
        <w:t>以冻干粉形式提供。特殊情况请致电生工生物工程（上海）股份有限公司咨询。</w:t>
      </w:r>
    </w:p>
    <w:p w:rsidR="003641E3" w:rsidRPr="000C72B8" w:rsidRDefault="003641E3" w:rsidP="003641E3">
      <w:pPr>
        <w:ind w:right="-298" w:firstLine="480"/>
        <w:rPr>
          <w:rFonts w:ascii="Arial" w:hAnsi="Arial" w:cs="Arial"/>
          <w:sz w:val="24"/>
        </w:rPr>
      </w:pPr>
    </w:p>
    <w:p w:rsidR="003641E3" w:rsidRPr="000C72B8" w:rsidRDefault="003641E3" w:rsidP="003641E3">
      <w:pPr>
        <w:pStyle w:val="2"/>
        <w:rPr>
          <w:rFonts w:cs="Arial"/>
        </w:rPr>
      </w:pPr>
      <w:r w:rsidRPr="000C72B8">
        <w:rPr>
          <w:rFonts w:cs="Arial"/>
        </w:rPr>
        <w:t xml:space="preserve">2 </w:t>
      </w:r>
      <w:r w:rsidRPr="000C72B8">
        <w:rPr>
          <w:rFonts w:cs="Arial"/>
        </w:rPr>
        <w:t>溶液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样品纯度应达到</w:t>
      </w:r>
      <w:r w:rsidRPr="009E673C">
        <w:rPr>
          <w:rFonts w:ascii="Arial" w:hAnsi="Arial" w:cs="Arial"/>
          <w:color w:val="FF0000"/>
        </w:rPr>
        <w:t>90%</w:t>
      </w:r>
      <w:r w:rsidRPr="000C72B8">
        <w:rPr>
          <w:rFonts w:ascii="Arial" w:hAnsi="Arial" w:cs="Arial"/>
        </w:rPr>
        <w:t>以上（</w:t>
      </w:r>
      <w:r w:rsidRPr="000C72B8">
        <w:rPr>
          <w:rFonts w:ascii="Arial" w:hAnsi="Arial" w:cs="Arial"/>
        </w:rPr>
        <w:t>HPLC</w:t>
      </w:r>
      <w:r w:rsidRPr="000C72B8">
        <w:rPr>
          <w:rFonts w:ascii="Arial" w:hAnsi="Arial" w:cs="Arial"/>
        </w:rPr>
        <w:t>），标明准确纯度。纯度越高，实验结果越理想。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样品浓度不低于</w:t>
      </w:r>
      <w:r w:rsidRPr="009E673C">
        <w:rPr>
          <w:rFonts w:ascii="Arial" w:hAnsi="Arial" w:cs="Arial"/>
          <w:color w:val="FF0000"/>
        </w:rPr>
        <w:t>1 μg/μl</w:t>
      </w:r>
      <w:r>
        <w:rPr>
          <w:rFonts w:ascii="Arial" w:hAnsi="Arial" w:cs="Arial" w:hint="eastAsia"/>
          <w:color w:val="0000FF"/>
        </w:rPr>
        <w:t>，</w:t>
      </w:r>
      <w:r w:rsidR="00295197" w:rsidRPr="003D60B2">
        <w:rPr>
          <w:rFonts w:ascii="Arial" w:hAnsi="Arial" w:cs="Arial" w:hint="eastAsia"/>
          <w:color w:val="FF0000"/>
        </w:rPr>
        <w:t>目的蛋白量</w:t>
      </w:r>
      <w:r w:rsidR="009750C0" w:rsidRPr="009750C0">
        <w:rPr>
          <w:rFonts w:ascii="Arial" w:hAnsi="Arial" w:cs="Arial" w:hint="eastAsia"/>
          <w:color w:val="FF0000"/>
        </w:rPr>
        <w:t>≥</w:t>
      </w:r>
      <w:r w:rsidR="00295197" w:rsidRPr="003D60B2">
        <w:rPr>
          <w:rFonts w:ascii="Arial" w:hAnsi="Arial" w:cs="Arial"/>
          <w:color w:val="FF0000"/>
        </w:rPr>
        <w:t>0.2</w:t>
      </w:r>
      <w:r w:rsidR="003D60B2">
        <w:rPr>
          <w:rFonts w:ascii="Arial" w:hAnsi="Arial" w:cs="Arial"/>
          <w:color w:val="FF0000"/>
        </w:rPr>
        <w:t xml:space="preserve"> </w:t>
      </w:r>
      <w:r w:rsidR="00295197" w:rsidRPr="003D60B2">
        <w:rPr>
          <w:rFonts w:ascii="Arial" w:hAnsi="Arial" w:cs="Arial"/>
          <w:color w:val="FF0000"/>
        </w:rPr>
        <w:t>mg</w:t>
      </w:r>
      <w:r>
        <w:rPr>
          <w:rFonts w:ascii="Arial" w:hAnsi="Arial" w:cs="Arial" w:hint="eastAsia"/>
        </w:rPr>
        <w:t>，</w:t>
      </w:r>
      <w:r w:rsidRPr="000C72B8">
        <w:rPr>
          <w:rFonts w:ascii="Arial" w:hAnsi="Arial" w:cs="Arial"/>
        </w:rPr>
        <w:t>并标明准确浓度。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请务必标明样品缓冲液的成份，并保证样品缓冲液中不含蛋白酶。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请自留备份，以便交流实验情况。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若运送路程较长，请将样品置入冰盒内保存，以防止蛋白质降解。</w:t>
      </w:r>
    </w:p>
    <w:p w:rsidR="003641E3" w:rsidRPr="003641E3" w:rsidRDefault="003641E3" w:rsidP="00362DFE"/>
    <w:sectPr w:rsidR="003641E3" w:rsidRPr="003641E3" w:rsidSect="00435222">
      <w:headerReference w:type="default" r:id="rId8"/>
      <w:footerReference w:type="default" r:id="rId9"/>
      <w:pgSz w:w="16838" w:h="11906" w:orient="landscape"/>
      <w:pgMar w:top="1418" w:right="720" w:bottom="720" w:left="72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CE" w:rsidRDefault="00806BCE" w:rsidP="00A85E3F">
      <w:r>
        <w:separator/>
      </w:r>
    </w:p>
  </w:endnote>
  <w:endnote w:type="continuationSeparator" w:id="0">
    <w:p w:rsidR="00806BCE" w:rsidRDefault="00806BCE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22" w:rsidRDefault="00296931" w:rsidP="00296931">
    <w:pPr>
      <w:pStyle w:val="af9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435222" w:rsidRPr="000F26B6">
      <w:rPr>
        <w:rFonts w:hint="eastAsia"/>
        <w:i/>
      </w:rPr>
      <w:t>: V</w:t>
    </w:r>
    <w:r w:rsidR="00C407C3">
      <w:rPr>
        <w:i/>
      </w:rPr>
      <w:t>2</w:t>
    </w:r>
    <w:r w:rsidR="00435222" w:rsidRPr="000F26B6">
      <w:rPr>
        <w:rFonts w:hint="eastAsia"/>
        <w:i/>
      </w:rPr>
      <w:t>.0</w:t>
    </w:r>
    <w:r w:rsidR="00C407C3">
      <w:rPr>
        <w:i/>
      </w:rPr>
      <w:t xml:space="preserve">                                                                                                                           </w:t>
    </w:r>
    <w:r w:rsidR="00435222">
      <w:rPr>
        <w:rFonts w:hint="eastAsia"/>
        <w:i/>
      </w:rPr>
      <w:t>PAGE</w:t>
    </w:r>
    <w:r w:rsidR="00295197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295197" w:rsidRPr="00754322">
      <w:rPr>
        <w:b/>
        <w:i/>
      </w:rPr>
      <w:fldChar w:fldCharType="separate"/>
    </w:r>
    <w:r w:rsidR="00D84F5D">
      <w:rPr>
        <w:b/>
        <w:i/>
        <w:noProof/>
      </w:rPr>
      <w:t>1</w:t>
    </w:r>
    <w:r w:rsidR="00295197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5819EF">
      <w:rPr>
        <w:b/>
        <w:i/>
        <w:noProof/>
      </w:rPr>
      <w:fldChar w:fldCharType="begin"/>
    </w:r>
    <w:r w:rsidR="005819EF">
      <w:rPr>
        <w:b/>
        <w:i/>
        <w:noProof/>
      </w:rPr>
      <w:instrText>NUMPAGES  \* Arabic  \* MERGEFORMAT</w:instrText>
    </w:r>
    <w:r w:rsidR="005819EF">
      <w:rPr>
        <w:b/>
        <w:i/>
        <w:noProof/>
      </w:rPr>
      <w:fldChar w:fldCharType="separate"/>
    </w:r>
    <w:r w:rsidR="00D84F5D">
      <w:rPr>
        <w:b/>
        <w:i/>
        <w:noProof/>
      </w:rPr>
      <w:t>2</w:t>
    </w:r>
    <w:r w:rsidR="005819EF">
      <w:rPr>
        <w:b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CE" w:rsidRDefault="00806BCE" w:rsidP="00A85E3F">
      <w:r>
        <w:separator/>
      </w:r>
    </w:p>
  </w:footnote>
  <w:footnote w:type="continuationSeparator" w:id="0">
    <w:p w:rsidR="00806BCE" w:rsidRDefault="00806BCE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09" w:rsidRDefault="00C407C3" w:rsidP="00C407C3">
    <w:pPr>
      <w:pStyle w:val="af7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C63C1" wp14:editId="27ABB610">
          <wp:simplePos x="0" y="0"/>
          <wp:positionH relativeFrom="page">
            <wp:align>left</wp:align>
          </wp:positionH>
          <wp:positionV relativeFrom="paragraph">
            <wp:posOffset>-747395</wp:posOffset>
          </wp:positionV>
          <wp:extent cx="10630800" cy="817200"/>
          <wp:effectExtent l="0" t="0" r="0" b="2540"/>
          <wp:wrapNone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308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FB"/>
    <w:rsid w:val="00035EE1"/>
    <w:rsid w:val="00057207"/>
    <w:rsid w:val="00080312"/>
    <w:rsid w:val="0009405C"/>
    <w:rsid w:val="000B6A60"/>
    <w:rsid w:val="000D25C5"/>
    <w:rsid w:val="000E457F"/>
    <w:rsid w:val="000E5F6B"/>
    <w:rsid w:val="001151DC"/>
    <w:rsid w:val="00116909"/>
    <w:rsid w:val="00116FCE"/>
    <w:rsid w:val="00164A4C"/>
    <w:rsid w:val="001C6B22"/>
    <w:rsid w:val="002068F0"/>
    <w:rsid w:val="002744BE"/>
    <w:rsid w:val="00277AFE"/>
    <w:rsid w:val="00290B8B"/>
    <w:rsid w:val="00295197"/>
    <w:rsid w:val="00296931"/>
    <w:rsid w:val="002B6847"/>
    <w:rsid w:val="002D7EA6"/>
    <w:rsid w:val="002F2526"/>
    <w:rsid w:val="003122BD"/>
    <w:rsid w:val="0033509B"/>
    <w:rsid w:val="00361A42"/>
    <w:rsid w:val="00362DFE"/>
    <w:rsid w:val="003641E3"/>
    <w:rsid w:val="00370D74"/>
    <w:rsid w:val="00397866"/>
    <w:rsid w:val="003D60B2"/>
    <w:rsid w:val="003E7F60"/>
    <w:rsid w:val="00411552"/>
    <w:rsid w:val="00427D8A"/>
    <w:rsid w:val="00435222"/>
    <w:rsid w:val="004A3421"/>
    <w:rsid w:val="004F109E"/>
    <w:rsid w:val="00520F60"/>
    <w:rsid w:val="00525562"/>
    <w:rsid w:val="00532B16"/>
    <w:rsid w:val="00562FAD"/>
    <w:rsid w:val="005819EF"/>
    <w:rsid w:val="005838BA"/>
    <w:rsid w:val="005C30AF"/>
    <w:rsid w:val="005E2A50"/>
    <w:rsid w:val="005E3059"/>
    <w:rsid w:val="0062282D"/>
    <w:rsid w:val="00670F8E"/>
    <w:rsid w:val="006C284E"/>
    <w:rsid w:val="006E6BB4"/>
    <w:rsid w:val="006F7493"/>
    <w:rsid w:val="0073230A"/>
    <w:rsid w:val="0073384C"/>
    <w:rsid w:val="00797808"/>
    <w:rsid w:val="007A565D"/>
    <w:rsid w:val="007B2118"/>
    <w:rsid w:val="007D3CF3"/>
    <w:rsid w:val="007F61E1"/>
    <w:rsid w:val="00800DF4"/>
    <w:rsid w:val="00806BCE"/>
    <w:rsid w:val="008224B6"/>
    <w:rsid w:val="0085282C"/>
    <w:rsid w:val="00884E72"/>
    <w:rsid w:val="008D0B54"/>
    <w:rsid w:val="009104E6"/>
    <w:rsid w:val="009262B0"/>
    <w:rsid w:val="00930B2C"/>
    <w:rsid w:val="00967EC1"/>
    <w:rsid w:val="009750C0"/>
    <w:rsid w:val="00997053"/>
    <w:rsid w:val="009A1ABD"/>
    <w:rsid w:val="009A3FD3"/>
    <w:rsid w:val="009B74A2"/>
    <w:rsid w:val="009C717B"/>
    <w:rsid w:val="009D115A"/>
    <w:rsid w:val="00A04FFB"/>
    <w:rsid w:val="00A136EF"/>
    <w:rsid w:val="00A22431"/>
    <w:rsid w:val="00A24F7F"/>
    <w:rsid w:val="00A5546B"/>
    <w:rsid w:val="00A83D2F"/>
    <w:rsid w:val="00A85E3F"/>
    <w:rsid w:val="00AA22FB"/>
    <w:rsid w:val="00AB30E0"/>
    <w:rsid w:val="00AE2718"/>
    <w:rsid w:val="00B72DF7"/>
    <w:rsid w:val="00B877F6"/>
    <w:rsid w:val="00BA2335"/>
    <w:rsid w:val="00BA4E51"/>
    <w:rsid w:val="00BB1A38"/>
    <w:rsid w:val="00BD6C8E"/>
    <w:rsid w:val="00C2166C"/>
    <w:rsid w:val="00C407C3"/>
    <w:rsid w:val="00C713EC"/>
    <w:rsid w:val="00C90D1A"/>
    <w:rsid w:val="00C97B3E"/>
    <w:rsid w:val="00CC4AD4"/>
    <w:rsid w:val="00CD1D5D"/>
    <w:rsid w:val="00CE5DA2"/>
    <w:rsid w:val="00D84F5D"/>
    <w:rsid w:val="00DE2EFD"/>
    <w:rsid w:val="00DE3354"/>
    <w:rsid w:val="00E11DE1"/>
    <w:rsid w:val="00E52AE6"/>
    <w:rsid w:val="00EA7658"/>
    <w:rsid w:val="00EE4170"/>
    <w:rsid w:val="00F01213"/>
    <w:rsid w:val="00F12F86"/>
    <w:rsid w:val="00F17049"/>
    <w:rsid w:val="00F22A57"/>
    <w:rsid w:val="00F53941"/>
    <w:rsid w:val="00F66FBD"/>
    <w:rsid w:val="00F74AC9"/>
    <w:rsid w:val="00F872FD"/>
    <w:rsid w:val="00FB6E64"/>
    <w:rsid w:val="00FC02E9"/>
    <w:rsid w:val="00FD754D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3776"/>
  <w15:docId w15:val="{C1A96BC1-9F7E-41CA-992A-BF6DD7EF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afterLines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A5CF-A24D-4023-B989-4B936026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丁梦肖</cp:lastModifiedBy>
  <cp:revision>7</cp:revision>
  <dcterms:created xsi:type="dcterms:W3CDTF">2022-08-11T13:13:00Z</dcterms:created>
  <dcterms:modified xsi:type="dcterms:W3CDTF">2022-09-05T05:08:00Z</dcterms:modified>
</cp:coreProperties>
</file>